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C8" w:rsidRDefault="00E234C8" w:rsidP="00E234C8">
      <w:pPr>
        <w:shd w:val="clear" w:color="auto" w:fill="FFFFFF"/>
        <w:spacing w:after="0" w:line="240" w:lineRule="auto"/>
        <w:ind w:right="-360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ԱՄԲՈՂՋԱԿԱՆ</w:t>
      </w:r>
      <w:proofErr w:type="spellEnd"/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ՓԱՍՏԱԹՈՒՂԹԸ</w:t>
      </w:r>
      <w:proofErr w:type="spellEnd"/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` </w:t>
      </w:r>
      <w:hyperlink r:id="rId4" w:history="1">
        <w:r w:rsidRPr="005F2C11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http://</w:t>
        </w:r>
        <w:proofErr w:type="spellStart"/>
        <w:r w:rsidRPr="005F2C11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www.arlis.am</w:t>
        </w:r>
        <w:proofErr w:type="spellEnd"/>
        <w:r w:rsidRPr="005F2C11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/</w:t>
        </w:r>
        <w:proofErr w:type="spellStart"/>
        <w:r w:rsidRPr="005F2C11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documentview.aspx?docid</w:t>
        </w:r>
        <w:proofErr w:type="spellEnd"/>
        <w:r w:rsidRPr="005F2C11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=93144</w:t>
        </w:r>
      </w:hyperlink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</w:p>
    <w:p w:rsidR="00E234C8" w:rsidRDefault="00E234C8" w:rsidP="00E234C8">
      <w:pPr>
        <w:shd w:val="clear" w:color="auto" w:fill="FFFFFF"/>
        <w:spacing w:after="0" w:line="240" w:lineRule="auto"/>
        <w:ind w:right="-360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</w:p>
    <w:p w:rsidR="00E234C8" w:rsidRDefault="00E234C8" w:rsidP="00E234C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ylfaen" w:hAnsi="Sylfaen"/>
          <w:color w:val="000000"/>
          <w:sz w:val="27"/>
          <w:szCs w:val="27"/>
        </w:rPr>
      </w:pPr>
    </w:p>
    <w:p w:rsidR="00E234C8" w:rsidRPr="00E234C8" w:rsidRDefault="00E234C8" w:rsidP="00E23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000000"/>
          <w:sz w:val="21"/>
          <w:szCs w:val="21"/>
        </w:rPr>
      </w:pPr>
      <w:bookmarkStart w:id="0" w:name="_GoBack"/>
      <w:bookmarkEnd w:id="0"/>
      <w:proofErr w:type="spellStart"/>
      <w:r w:rsidRPr="00E234C8">
        <w:rPr>
          <w:rStyle w:val="Strong"/>
          <w:rFonts w:ascii="Sylfaen" w:hAnsi="Sylfaen"/>
          <w:color w:val="000000"/>
          <w:sz w:val="27"/>
          <w:szCs w:val="27"/>
        </w:rPr>
        <w:t>ՀԱՅԱՍՏԱՆԻ</w:t>
      </w:r>
      <w:proofErr w:type="spellEnd"/>
      <w:r w:rsidRPr="00E234C8">
        <w:rPr>
          <w:rStyle w:val="Strong"/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E234C8">
        <w:rPr>
          <w:rStyle w:val="Strong"/>
          <w:rFonts w:ascii="Sylfaen" w:hAnsi="Sylfaen"/>
          <w:color w:val="000000"/>
          <w:sz w:val="27"/>
          <w:szCs w:val="27"/>
        </w:rPr>
        <w:t>ՀԱՆՐԱՊԵՏՈՒԹՅԱՆ</w:t>
      </w:r>
      <w:proofErr w:type="spellEnd"/>
      <w:r w:rsidRPr="00E234C8">
        <w:rPr>
          <w:rStyle w:val="Strong"/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E234C8">
        <w:rPr>
          <w:rStyle w:val="Strong"/>
          <w:rFonts w:ascii="Sylfaen" w:hAnsi="Sylfaen"/>
          <w:color w:val="000000"/>
          <w:sz w:val="27"/>
          <w:szCs w:val="27"/>
        </w:rPr>
        <w:t>ՔԱՂԱՔԱՑԻԱԿԱՆ</w:t>
      </w:r>
      <w:proofErr w:type="spellEnd"/>
    </w:p>
    <w:p w:rsidR="00E234C8" w:rsidRPr="00E234C8" w:rsidRDefault="00E234C8" w:rsidP="00E23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000000"/>
          <w:sz w:val="21"/>
          <w:szCs w:val="21"/>
        </w:rPr>
      </w:pPr>
      <w:r w:rsidRPr="00E234C8">
        <w:rPr>
          <w:rFonts w:ascii="Sylfaen" w:hAnsi="Sylfaen" w:cs="Calibri"/>
          <w:color w:val="000000"/>
          <w:sz w:val="21"/>
          <w:szCs w:val="21"/>
        </w:rPr>
        <w:t> </w:t>
      </w:r>
    </w:p>
    <w:p w:rsidR="00E234C8" w:rsidRPr="00E234C8" w:rsidRDefault="00E234C8" w:rsidP="00E234C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ylfaen" w:hAnsi="Sylfaen"/>
          <w:color w:val="000000"/>
          <w:sz w:val="36"/>
          <w:szCs w:val="36"/>
        </w:rPr>
      </w:pPr>
      <w:r w:rsidRPr="00E234C8">
        <w:rPr>
          <w:rStyle w:val="Strong"/>
          <w:rFonts w:ascii="Sylfaen" w:hAnsi="Sylfaen"/>
          <w:color w:val="000000"/>
          <w:sz w:val="36"/>
          <w:szCs w:val="36"/>
        </w:rPr>
        <w:t>Օ Ր Ե Ն Ս Գ Ի Ր Ք</w:t>
      </w:r>
    </w:p>
    <w:p w:rsidR="00E234C8" w:rsidRDefault="00E234C8" w:rsidP="00E23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Unicode" w:hAnsi="Arial Unicode"/>
          <w:color w:val="000000"/>
          <w:sz w:val="21"/>
          <w:szCs w:val="21"/>
        </w:rPr>
      </w:pPr>
    </w:p>
    <w:p w:rsidR="00E234C8" w:rsidRPr="00E234C8" w:rsidRDefault="00E234C8" w:rsidP="00E234C8">
      <w:pPr>
        <w:shd w:val="clear" w:color="auto" w:fill="FFFFFF"/>
        <w:spacing w:after="0" w:line="240" w:lineRule="auto"/>
        <w:ind w:right="-360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</w:p>
    <w:p w:rsidR="00421396" w:rsidRPr="00421396" w:rsidRDefault="00421396" w:rsidP="0042139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Գ Լ </w:t>
      </w:r>
      <w:proofErr w:type="spellStart"/>
      <w:r w:rsidRPr="0042139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2139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Խ </w:t>
      </w:r>
      <w:r w:rsidRPr="00421396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42139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9</w:t>
      </w:r>
      <w:proofErr w:type="gramEnd"/>
    </w:p>
    <w:p w:rsidR="00421396" w:rsidRPr="00421396" w:rsidRDefault="00421396" w:rsidP="0042139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421396" w:rsidRPr="00421396" w:rsidRDefault="00421396" w:rsidP="0042139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ԲԱՐԻՔՆԵՐ</w:t>
      </w:r>
      <w:proofErr w:type="spellEnd"/>
    </w:p>
    <w:p w:rsidR="00421396" w:rsidRPr="00421396" w:rsidRDefault="00421396" w:rsidP="00421396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740"/>
      </w:tblGrid>
      <w:tr w:rsidR="00421396" w:rsidRPr="00421396" w:rsidTr="00421396">
        <w:trPr>
          <w:tblCellSpacing w:w="0" w:type="dxa"/>
        </w:trPr>
        <w:tc>
          <w:tcPr>
            <w:tcW w:w="1620" w:type="dxa"/>
            <w:shd w:val="clear" w:color="auto" w:fill="FFFFFF"/>
            <w:hideMark/>
          </w:tcPr>
          <w:p w:rsidR="00421396" w:rsidRPr="00421396" w:rsidRDefault="00421396" w:rsidP="004213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162.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96" w:rsidRPr="00421396" w:rsidRDefault="00421396" w:rsidP="004213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Ոչ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նյութական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բարիքների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հասկացությունը</w:t>
            </w:r>
            <w:proofErr w:type="spellEnd"/>
          </w:p>
        </w:tc>
      </w:tr>
    </w:tbl>
    <w:p w:rsidR="00421396" w:rsidRPr="00421396" w:rsidRDefault="00421396" w:rsidP="00421396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1.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կյանքը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առողջությունը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արժանապատվությունը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անձնական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անձեռնմխելիությունը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պատիվն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բարի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գործարար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համբավը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մասնավոր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կյանքի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անձեռնմխելիությունը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անձնական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ընտանեկան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կյանքի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գաղտնիությունը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ազատ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տեղաշարժվելու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բնակվելու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գտնվելու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վայր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ընտրելու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անվան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հեղինակության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քաղաքացուն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ի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ծնե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ուժով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պատկանող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անձնական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գույքային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բարիքներն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անօտարելի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անփոխանցելի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Օրենքով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դեպքերում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անձնական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գույքային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բարիքները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որոնք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պատկանել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մահացածին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կարող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իրականացվել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պաշտպանվել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`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ներառյալ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իրավատիրոջ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ժառանգների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2.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բարիքները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օրենսգրքին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օրենքներին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համապատասխան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պաշտպանվում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դրանցով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դեպքերում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ինչպես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նաև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դեպքերում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սահմաններում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որոնցում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քաղաքացիական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պաշտպանության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եղանակների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օգտագործումը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հոդված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14)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բխում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էությունից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խախտումների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հետևանքների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բնույթից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38"/>
        <w:gridCol w:w="7722"/>
      </w:tblGrid>
      <w:tr w:rsidR="00421396" w:rsidRPr="00421396" w:rsidTr="00421396">
        <w:trPr>
          <w:tblCellSpacing w:w="6" w:type="dxa"/>
        </w:trPr>
        <w:tc>
          <w:tcPr>
            <w:tcW w:w="1620" w:type="dxa"/>
            <w:shd w:val="clear" w:color="auto" w:fill="FFFFFF"/>
            <w:hideMark/>
          </w:tcPr>
          <w:p w:rsidR="00421396" w:rsidRPr="00421396" w:rsidRDefault="00421396" w:rsidP="004213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162.1.</w:t>
            </w:r>
          </w:p>
        </w:tc>
        <w:tc>
          <w:tcPr>
            <w:tcW w:w="0" w:type="auto"/>
            <w:shd w:val="clear" w:color="auto" w:fill="FFFFFF"/>
            <w:hideMark/>
          </w:tcPr>
          <w:p w:rsidR="00421396" w:rsidRPr="00421396" w:rsidRDefault="00421396" w:rsidP="004213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Ոչ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նյութական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վնասի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հասկացությունը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դրա</w:t>
            </w:r>
            <w:proofErr w:type="spellEnd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39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հատուցումը</w:t>
            </w:r>
            <w:proofErr w:type="spellEnd"/>
          </w:p>
        </w:tc>
      </w:tr>
    </w:tbl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1.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իմաստով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վնասը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ֆիզիկական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հոգեկան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տառապանք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առաջացել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ի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ծնե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ուժով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պատկանող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բարիքների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դեմ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ոտնձգող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անձնական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գույքային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խախտող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որոշմամբ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գործողությամբ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անգործությամբ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2.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Եթե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հաստատվել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պետական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մարմնի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պաշտոնատար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որոշման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գործողության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անգործության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հետևանքով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ֆիզիկական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թույլ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տրվել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Մարդու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հիմնարար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lastRenderedPageBreak/>
        <w:t>ազատությունների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պաշտպանության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մասին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կոնվենցիայի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2, 3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5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հոդվածներով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երաշխավորված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իմաստով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կոնվենցիոն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),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ապա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անձը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իսկ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մահվան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անգործունակության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դեպքում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ամուսինը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ծնողը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որդեգրողը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երեխան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որդեգրվածը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խնամակալն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ունեն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պահանջելու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պատճառված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վնասի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հատուցում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3.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Եթե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դատապարտյալն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արդարացվել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«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Մարդու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հիմնարար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ազատությունների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պաշտպանության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մասին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կոնվենցիային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կից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թիվ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7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Արձանագրության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3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պայմաններում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ապա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նա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ունի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պահանջելու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իրեն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պատճառված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վնասի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հատուցում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իմաստով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հատուցում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անարդարացի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դատապարտման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համար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):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4.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Պատվին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արժանապատվությանը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գործարար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համբավին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պատճառված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վնասը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հատուցվում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1087.1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իսկ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կոնվենցիոն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իրավունքների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խախտման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անարդարացի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դատապարտման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հետևանքով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պատճառված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ոչ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վնասը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՝ 1087.2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սահմանված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կարգին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պայմաններին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համապատասխան</w:t>
      </w:r>
      <w:proofErr w:type="spellEnd"/>
      <w:r w:rsidRPr="0042139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421396" w:rsidRPr="00421396" w:rsidRDefault="00421396" w:rsidP="00421396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(162.1-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ին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հոդվածը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լրաց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 xml:space="preserve">. 19.05.14 </w:t>
      </w:r>
      <w:proofErr w:type="spellStart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ՀՕ</w:t>
      </w:r>
      <w:proofErr w:type="spellEnd"/>
      <w:r w:rsidRPr="00421396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</w:rPr>
        <w:t>-21-Ն)</w:t>
      </w:r>
    </w:p>
    <w:p w:rsidR="006D603D" w:rsidRPr="00421396" w:rsidRDefault="006D603D">
      <w:pPr>
        <w:rPr>
          <w:rFonts w:ascii="Sylfaen" w:hAnsi="Sylfaen"/>
          <w:sz w:val="24"/>
          <w:szCs w:val="24"/>
        </w:rPr>
      </w:pPr>
    </w:p>
    <w:sectPr w:rsidR="006D603D" w:rsidRPr="0042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96"/>
    <w:rsid w:val="00421396"/>
    <w:rsid w:val="006D603D"/>
    <w:rsid w:val="00E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259A-F91E-433A-9E3A-E1AB5F4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396"/>
    <w:rPr>
      <w:b/>
      <w:bCs/>
    </w:rPr>
  </w:style>
  <w:style w:type="character" w:styleId="Emphasis">
    <w:name w:val="Emphasis"/>
    <w:basedOn w:val="DefaultParagraphFont"/>
    <w:uiPriority w:val="20"/>
    <w:qFormat/>
    <w:rsid w:val="00421396"/>
    <w:rPr>
      <w:i/>
      <w:iCs/>
    </w:rPr>
  </w:style>
  <w:style w:type="character" w:styleId="Hyperlink">
    <w:name w:val="Hyperlink"/>
    <w:basedOn w:val="DefaultParagraphFont"/>
    <w:uiPriority w:val="99"/>
    <w:unhideWhenUsed/>
    <w:rsid w:val="00E23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lis.am/documentview.aspx?docid=93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 Hakobyan</dc:creator>
  <cp:keywords/>
  <dc:description/>
  <cp:lastModifiedBy>Shahane Hakobyan</cp:lastModifiedBy>
  <cp:revision>2</cp:revision>
  <dcterms:created xsi:type="dcterms:W3CDTF">2015-09-24T17:10:00Z</dcterms:created>
  <dcterms:modified xsi:type="dcterms:W3CDTF">2015-09-24T17:13:00Z</dcterms:modified>
</cp:coreProperties>
</file>